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C53" w:rsidRPr="005B2C53" w:rsidRDefault="005B2C53" w:rsidP="005B2C53">
      <w:pPr>
        <w:spacing w:line="360" w:lineRule="auto"/>
        <w:jc w:val="center"/>
        <w:rPr>
          <w:rFonts w:asciiTheme="minorHAnsi" w:hAnsiTheme="minorHAnsi"/>
          <w:b/>
          <w:sz w:val="32"/>
          <w:szCs w:val="22"/>
        </w:rPr>
      </w:pPr>
      <w:r w:rsidRPr="005B2C53">
        <w:rPr>
          <w:rFonts w:asciiTheme="minorHAnsi" w:hAnsiTheme="minorHAnsi"/>
          <w:b/>
          <w:sz w:val="32"/>
          <w:szCs w:val="22"/>
        </w:rPr>
        <w:t xml:space="preserve">Why is the sky blue? </w:t>
      </w:r>
    </w:p>
    <w:p w:rsidR="005B2C53" w:rsidRPr="006B2ABA" w:rsidRDefault="005B2C53" w:rsidP="005B2C53">
      <w:pPr>
        <w:spacing w:line="360" w:lineRule="auto"/>
        <w:jc w:val="center"/>
        <w:rPr>
          <w:rFonts w:asciiTheme="minorHAnsi" w:hAnsiTheme="minorHAnsi"/>
          <w:b/>
          <w:szCs w:val="22"/>
        </w:rPr>
      </w:pPr>
      <w:r w:rsidRPr="006B2ABA">
        <w:rPr>
          <w:rFonts w:asciiTheme="minorHAnsi" w:hAnsiTheme="minorHAnsi"/>
          <w:b/>
          <w:szCs w:val="22"/>
        </w:rPr>
        <w:t xml:space="preserve">Lord Rayleigh’s dimensional argument for </w:t>
      </w:r>
      <w:r w:rsidR="00B858C1" w:rsidRPr="006B2ABA">
        <w:rPr>
          <w:rFonts w:asciiTheme="minorHAnsi" w:hAnsiTheme="minorHAnsi"/>
          <w:b/>
          <w:szCs w:val="22"/>
        </w:rPr>
        <w:t xml:space="preserve">the </w:t>
      </w:r>
      <w:r w:rsidRPr="006B2ABA">
        <w:rPr>
          <w:rFonts w:asciiTheme="minorHAnsi" w:hAnsiTheme="minorHAnsi"/>
          <w:b/>
          <w:szCs w:val="22"/>
        </w:rPr>
        <w:t>λ</w:t>
      </w:r>
      <w:r w:rsidRPr="006B2ABA">
        <w:rPr>
          <w:rFonts w:asciiTheme="minorHAnsi" w:hAnsiTheme="minorHAnsi"/>
          <w:b/>
          <w:szCs w:val="22"/>
          <w:vertAlign w:val="superscript"/>
        </w:rPr>
        <w:t>4</w:t>
      </w:r>
      <w:r w:rsidRPr="006B2ABA">
        <w:rPr>
          <w:rFonts w:asciiTheme="minorHAnsi" w:hAnsiTheme="minorHAnsi"/>
          <w:b/>
          <w:szCs w:val="22"/>
        </w:rPr>
        <w:t xml:space="preserve"> dependence on scattering</w:t>
      </w:r>
    </w:p>
    <w:p w:rsidR="005B2C53" w:rsidRPr="00DF164A" w:rsidRDefault="005B2C53" w:rsidP="005B2C53">
      <w:pPr>
        <w:spacing w:line="360" w:lineRule="auto"/>
        <w:rPr>
          <w:rFonts w:asciiTheme="minorHAnsi" w:hAnsiTheme="minorHAnsi"/>
          <w:sz w:val="22"/>
          <w:szCs w:val="22"/>
        </w:rPr>
      </w:pPr>
    </w:p>
    <w:p w:rsidR="005B2C53" w:rsidRPr="005B2C53" w:rsidRDefault="005B2C53" w:rsidP="005B2C53">
      <w:pPr>
        <w:spacing w:line="360" w:lineRule="auto"/>
        <w:rPr>
          <w:rFonts w:asciiTheme="minorHAnsi" w:hAnsiTheme="minorHAnsi"/>
          <w:szCs w:val="22"/>
        </w:rPr>
      </w:pPr>
      <w:r w:rsidRPr="005B2C53">
        <w:rPr>
          <w:rFonts w:asciiTheme="minorHAnsi" w:hAnsiTheme="minorHAnsi"/>
          <w:szCs w:val="22"/>
        </w:rPr>
        <w:t>For a particle much smaller than the wavelength of light, the induced dipole is proportional to volume of the particle since all mass elements are oscillating with the same phase.  Therefore the scattered field can be written as</w:t>
      </w:r>
    </w:p>
    <w:p w:rsidR="005B2C53" w:rsidRPr="005B2C53" w:rsidRDefault="005B2C53" w:rsidP="005B2C53">
      <w:pPr>
        <w:pStyle w:val="MTDisplayEquation"/>
        <w:spacing w:line="360" w:lineRule="auto"/>
        <w:rPr>
          <w:rFonts w:asciiTheme="minorHAnsi" w:hAnsiTheme="minorHAnsi"/>
          <w:szCs w:val="22"/>
        </w:rPr>
      </w:pPr>
      <w:r w:rsidRPr="005B2C53">
        <w:rPr>
          <w:rFonts w:asciiTheme="minorHAnsi" w:hAnsiTheme="minorHAnsi"/>
          <w:szCs w:val="22"/>
        </w:rPr>
        <w:tab/>
      </w:r>
      <w:r w:rsidRPr="005B2C53">
        <w:rPr>
          <w:rFonts w:asciiTheme="minorHAnsi" w:hAnsiTheme="minorHAnsi"/>
          <w:position w:val="-10"/>
          <w:szCs w:val="22"/>
        </w:rPr>
        <w:object w:dxaOrig="10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15.75pt" o:ole="">
            <v:imagedata r:id="rId6" o:title=""/>
          </v:shape>
          <o:OLEObject Type="Embed" ProgID="Equation.DSMT4" ShapeID="_x0000_i1025" DrawAspect="Content" ObjectID="_1361100032" r:id="rId7"/>
        </w:object>
      </w:r>
      <w:r w:rsidRPr="005B2C53">
        <w:rPr>
          <w:rFonts w:asciiTheme="minorHAnsi" w:hAnsiTheme="minorHAnsi"/>
          <w:szCs w:val="22"/>
        </w:rPr>
        <w:tab/>
      </w:r>
      <w:r w:rsidR="00A85CA2" w:rsidRPr="005B2C53">
        <w:rPr>
          <w:rFonts w:asciiTheme="minorHAnsi" w:hAnsiTheme="minorHAnsi"/>
          <w:szCs w:val="22"/>
        </w:rPr>
        <w:fldChar w:fldCharType="begin"/>
      </w:r>
      <w:r w:rsidRPr="005B2C53">
        <w:rPr>
          <w:rFonts w:asciiTheme="minorHAnsi" w:hAnsiTheme="minorHAnsi"/>
          <w:szCs w:val="22"/>
        </w:rPr>
        <w:instrText xml:space="preserve"> MACROBUTTON MTPlaceRef \* MERGEFORMAT </w:instrText>
      </w:r>
      <w:r w:rsidR="00A85CA2" w:rsidRPr="005B2C53">
        <w:rPr>
          <w:rFonts w:asciiTheme="minorHAnsi" w:hAnsiTheme="minorHAnsi"/>
          <w:szCs w:val="22"/>
        </w:rPr>
        <w:fldChar w:fldCharType="begin"/>
      </w:r>
      <w:r w:rsidRPr="005B2C53">
        <w:rPr>
          <w:rFonts w:asciiTheme="minorHAnsi" w:hAnsiTheme="minorHAnsi"/>
          <w:szCs w:val="22"/>
        </w:rPr>
        <w:instrText xml:space="preserve"> SEQ MTEqn \h \* MERGEFORMAT </w:instrText>
      </w:r>
      <w:r w:rsidR="00A85CA2" w:rsidRPr="005B2C53">
        <w:rPr>
          <w:rFonts w:asciiTheme="minorHAnsi" w:hAnsiTheme="minorHAnsi"/>
          <w:szCs w:val="22"/>
        </w:rPr>
        <w:fldChar w:fldCharType="end"/>
      </w:r>
      <w:r w:rsidRPr="005B2C53">
        <w:rPr>
          <w:rFonts w:asciiTheme="minorHAnsi" w:hAnsiTheme="minorHAnsi"/>
          <w:szCs w:val="22"/>
        </w:rPr>
        <w:instrText>(</w:instrText>
      </w:r>
      <w:fldSimple w:instr=" SEQ MTEqn \c \* Arabic \* MERGEFORMAT ">
        <w:r w:rsidR="00AA5EA2" w:rsidRPr="00AA5EA2">
          <w:rPr>
            <w:rFonts w:asciiTheme="minorHAnsi" w:hAnsiTheme="minorHAnsi"/>
            <w:noProof/>
            <w:szCs w:val="22"/>
          </w:rPr>
          <w:instrText>1</w:instrText>
        </w:r>
      </w:fldSimple>
      <w:r w:rsidRPr="005B2C53">
        <w:rPr>
          <w:rFonts w:asciiTheme="minorHAnsi" w:hAnsiTheme="minorHAnsi"/>
          <w:szCs w:val="22"/>
        </w:rPr>
        <w:instrText>)</w:instrText>
      </w:r>
      <w:r w:rsidR="00A85CA2" w:rsidRPr="005B2C53">
        <w:rPr>
          <w:rFonts w:asciiTheme="minorHAnsi" w:hAnsiTheme="minorHAnsi"/>
          <w:szCs w:val="22"/>
        </w:rPr>
        <w:fldChar w:fldCharType="end"/>
      </w:r>
    </w:p>
    <w:p w:rsidR="005B2C53" w:rsidRPr="005B2C53" w:rsidRDefault="005B2C53" w:rsidP="005B2C53">
      <w:pPr>
        <w:spacing w:line="360" w:lineRule="auto"/>
        <w:rPr>
          <w:rFonts w:asciiTheme="minorHAnsi" w:hAnsiTheme="minorHAnsi"/>
          <w:szCs w:val="22"/>
        </w:rPr>
      </w:pPr>
      <w:proofErr w:type="gramStart"/>
      <w:r w:rsidRPr="005B2C53">
        <w:rPr>
          <w:rFonts w:asciiTheme="minorHAnsi" w:hAnsiTheme="minorHAnsi"/>
          <w:szCs w:val="22"/>
        </w:rPr>
        <w:t>where</w:t>
      </w:r>
      <w:proofErr w:type="gramEnd"/>
      <w:r w:rsidRPr="005B2C53">
        <w:rPr>
          <w:rFonts w:asciiTheme="minorHAnsi" w:hAnsiTheme="minorHAnsi"/>
          <w:szCs w:val="22"/>
        </w:rPr>
        <w:t xml:space="preserve"> </w:t>
      </w:r>
      <w:r w:rsidRPr="00B858C1">
        <w:rPr>
          <w:rFonts w:asciiTheme="minorHAnsi" w:hAnsiTheme="minorHAnsi"/>
          <w:i/>
          <w:szCs w:val="22"/>
        </w:rPr>
        <w:t>k</w:t>
      </w:r>
      <w:r w:rsidRPr="005B2C53">
        <w:rPr>
          <w:rFonts w:asciiTheme="minorHAnsi" w:hAnsiTheme="minorHAnsi"/>
          <w:szCs w:val="22"/>
        </w:rPr>
        <w:t xml:space="preserve"> is a constant of proportionality.  To conserve energy, the scattered intensity must fall off as </w:t>
      </w:r>
      <w:r w:rsidRPr="005B2C53">
        <w:rPr>
          <w:rFonts w:asciiTheme="minorHAnsi" w:hAnsiTheme="minorHAnsi"/>
          <w:position w:val="-4"/>
          <w:szCs w:val="22"/>
        </w:rPr>
        <w:object w:dxaOrig="500" w:dyaOrig="300">
          <v:shape id="_x0000_i1026" type="#_x0000_t75" style="width:24.75pt;height:15pt" o:ole="">
            <v:imagedata r:id="rId8" o:title=""/>
          </v:shape>
          <o:OLEObject Type="Embed" ProgID="Equation.DSMT4" ShapeID="_x0000_i1026" DrawAspect="Content" ObjectID="_1361100033" r:id="rId9"/>
        </w:object>
      </w:r>
      <w:r w:rsidRPr="005B2C53">
        <w:rPr>
          <w:rFonts w:asciiTheme="minorHAnsi" w:hAnsiTheme="minorHAnsi"/>
          <w:szCs w:val="22"/>
        </w:rPr>
        <w:t xml:space="preserve">where </w:t>
      </w:r>
      <w:r w:rsidRPr="005B2C53">
        <w:rPr>
          <w:rFonts w:asciiTheme="minorHAnsi" w:hAnsiTheme="minorHAnsi"/>
          <w:i/>
          <w:szCs w:val="22"/>
        </w:rPr>
        <w:t>r</w:t>
      </w:r>
      <w:r w:rsidRPr="005B2C53">
        <w:rPr>
          <w:rFonts w:asciiTheme="minorHAnsi" w:hAnsiTheme="minorHAnsi"/>
          <w:szCs w:val="22"/>
        </w:rPr>
        <w:t xml:space="preserve"> is the distance from the particle.  Putting this together gives</w:t>
      </w:r>
    </w:p>
    <w:p w:rsidR="005B2C53" w:rsidRPr="005B2C53" w:rsidRDefault="005B2C53" w:rsidP="005B2C53">
      <w:pPr>
        <w:pStyle w:val="MTDisplayEquation"/>
        <w:spacing w:line="360" w:lineRule="auto"/>
        <w:rPr>
          <w:rFonts w:asciiTheme="minorHAnsi" w:hAnsiTheme="minorHAnsi"/>
          <w:szCs w:val="22"/>
        </w:rPr>
      </w:pPr>
      <w:r w:rsidRPr="005B2C53">
        <w:rPr>
          <w:rFonts w:asciiTheme="minorHAnsi" w:hAnsiTheme="minorHAnsi"/>
          <w:szCs w:val="22"/>
        </w:rPr>
        <w:tab/>
      </w:r>
      <w:r w:rsidRPr="005B2C53">
        <w:rPr>
          <w:rFonts w:asciiTheme="minorHAnsi" w:hAnsiTheme="minorHAnsi"/>
          <w:position w:val="-30"/>
          <w:szCs w:val="22"/>
        </w:rPr>
        <w:object w:dxaOrig="1060" w:dyaOrig="720">
          <v:shape id="_x0000_i1027" type="#_x0000_t75" style="width:53.25pt;height:36pt" o:ole="">
            <v:imagedata r:id="rId10" o:title=""/>
          </v:shape>
          <o:OLEObject Type="Embed" ProgID="Equation.DSMT4" ShapeID="_x0000_i1027" DrawAspect="Content" ObjectID="_1361100034" r:id="rId11"/>
        </w:object>
      </w:r>
      <w:r w:rsidRPr="005B2C53">
        <w:rPr>
          <w:rFonts w:asciiTheme="minorHAnsi" w:hAnsiTheme="minorHAnsi"/>
          <w:szCs w:val="22"/>
        </w:rPr>
        <w:tab/>
      </w:r>
      <w:r w:rsidR="00A85CA2" w:rsidRPr="005B2C53">
        <w:rPr>
          <w:rFonts w:asciiTheme="minorHAnsi" w:hAnsiTheme="minorHAnsi"/>
          <w:szCs w:val="22"/>
        </w:rPr>
        <w:fldChar w:fldCharType="begin"/>
      </w:r>
      <w:r w:rsidRPr="005B2C53">
        <w:rPr>
          <w:rFonts w:asciiTheme="minorHAnsi" w:hAnsiTheme="minorHAnsi"/>
          <w:szCs w:val="22"/>
        </w:rPr>
        <w:instrText xml:space="preserve"> MACROBUTTON MTPlaceRef \* MERGEFORMAT </w:instrText>
      </w:r>
      <w:r w:rsidR="00A85CA2" w:rsidRPr="005B2C53">
        <w:rPr>
          <w:rFonts w:asciiTheme="minorHAnsi" w:hAnsiTheme="minorHAnsi"/>
          <w:szCs w:val="22"/>
        </w:rPr>
        <w:fldChar w:fldCharType="begin"/>
      </w:r>
      <w:r w:rsidRPr="005B2C53">
        <w:rPr>
          <w:rFonts w:asciiTheme="minorHAnsi" w:hAnsiTheme="minorHAnsi"/>
          <w:szCs w:val="22"/>
        </w:rPr>
        <w:instrText xml:space="preserve"> SEQ MTEqn \h \* MERGEFORMAT </w:instrText>
      </w:r>
      <w:r w:rsidR="00A85CA2" w:rsidRPr="005B2C53">
        <w:rPr>
          <w:rFonts w:asciiTheme="minorHAnsi" w:hAnsiTheme="minorHAnsi"/>
          <w:szCs w:val="22"/>
        </w:rPr>
        <w:fldChar w:fldCharType="end"/>
      </w:r>
      <w:r w:rsidRPr="005B2C53">
        <w:rPr>
          <w:rFonts w:asciiTheme="minorHAnsi" w:hAnsiTheme="minorHAnsi"/>
          <w:szCs w:val="22"/>
        </w:rPr>
        <w:instrText>(</w:instrText>
      </w:r>
      <w:fldSimple w:instr=" SEQ MTEqn \c \* Arabic \* MERGEFORMAT ">
        <w:r w:rsidR="00AA5EA2" w:rsidRPr="00AA5EA2">
          <w:rPr>
            <w:rFonts w:asciiTheme="minorHAnsi" w:hAnsiTheme="minorHAnsi"/>
            <w:noProof/>
            <w:szCs w:val="22"/>
          </w:rPr>
          <w:instrText>2</w:instrText>
        </w:r>
      </w:fldSimple>
      <w:r w:rsidRPr="005B2C53">
        <w:rPr>
          <w:rFonts w:asciiTheme="minorHAnsi" w:hAnsiTheme="minorHAnsi"/>
          <w:szCs w:val="22"/>
        </w:rPr>
        <w:instrText>)</w:instrText>
      </w:r>
      <w:r w:rsidR="00A85CA2" w:rsidRPr="005B2C53">
        <w:rPr>
          <w:rFonts w:asciiTheme="minorHAnsi" w:hAnsiTheme="minorHAnsi"/>
          <w:szCs w:val="22"/>
        </w:rPr>
        <w:fldChar w:fldCharType="end"/>
      </w:r>
    </w:p>
    <w:p w:rsidR="005B2C53" w:rsidRPr="005B2C53" w:rsidRDefault="005B2C53" w:rsidP="005B2C53">
      <w:pPr>
        <w:spacing w:line="360" w:lineRule="auto"/>
        <w:rPr>
          <w:rFonts w:asciiTheme="minorHAnsi" w:hAnsiTheme="minorHAnsi"/>
          <w:szCs w:val="22"/>
        </w:rPr>
      </w:pPr>
      <w:proofErr w:type="gramStart"/>
      <w:r w:rsidRPr="005B2C53">
        <w:rPr>
          <w:rFonts w:asciiTheme="minorHAnsi" w:hAnsiTheme="minorHAnsi"/>
          <w:szCs w:val="22"/>
        </w:rPr>
        <w:t>where</w:t>
      </w:r>
      <w:proofErr w:type="gramEnd"/>
      <w:r w:rsidRPr="005B2C53">
        <w:rPr>
          <w:rFonts w:asciiTheme="minorHAnsi" w:hAnsiTheme="minorHAnsi"/>
          <w:szCs w:val="22"/>
        </w:rPr>
        <w:t xml:space="preserve"> </w:t>
      </w:r>
      <w:r w:rsidRPr="005B2C53">
        <w:rPr>
          <w:rFonts w:asciiTheme="minorHAnsi" w:hAnsiTheme="minorHAnsi"/>
          <w:position w:val="-4"/>
          <w:szCs w:val="22"/>
        </w:rPr>
        <w:object w:dxaOrig="260" w:dyaOrig="260">
          <v:shape id="_x0000_i1028" type="#_x0000_t75" style="width:12.75pt;height:12.75pt" o:ole="">
            <v:imagedata r:id="rId12" o:title=""/>
          </v:shape>
          <o:OLEObject Type="Embed" ProgID="Equation.DSMT4" ShapeID="_x0000_i1028" DrawAspect="Content" ObjectID="_1361100035" r:id="rId13"/>
        </w:object>
      </w:r>
      <w:r w:rsidRPr="005B2C53">
        <w:rPr>
          <w:rFonts w:asciiTheme="minorHAnsi" w:hAnsiTheme="minorHAnsi"/>
          <w:szCs w:val="22"/>
        </w:rPr>
        <w:t xml:space="preserve">is a different constant of proportionality.  Now consider the units of both sides of the equation where the notation </w:t>
      </w:r>
      <w:r w:rsidRPr="005B2C53">
        <w:rPr>
          <w:rFonts w:asciiTheme="minorHAnsi" w:hAnsiTheme="minorHAnsi"/>
          <w:position w:val="-12"/>
          <w:szCs w:val="22"/>
        </w:rPr>
        <w:object w:dxaOrig="360" w:dyaOrig="360">
          <v:shape id="_x0000_i1029" type="#_x0000_t75" style="width:18pt;height:18pt" o:ole="">
            <v:imagedata r:id="rId14" o:title=""/>
          </v:shape>
          <o:OLEObject Type="Embed" ProgID="Equation.DSMT4" ShapeID="_x0000_i1029" DrawAspect="Content" ObjectID="_1361100036" r:id="rId15"/>
        </w:object>
      </w:r>
      <w:r w:rsidRPr="005B2C53">
        <w:rPr>
          <w:rFonts w:asciiTheme="minorHAnsi" w:hAnsiTheme="minorHAnsi"/>
          <w:szCs w:val="22"/>
        </w:rPr>
        <w:t xml:space="preserve">will denote the units of </w:t>
      </w:r>
      <w:r w:rsidRPr="005B2C53">
        <w:rPr>
          <w:rFonts w:asciiTheme="minorHAnsi" w:hAnsiTheme="minorHAnsi"/>
          <w:i/>
          <w:szCs w:val="22"/>
        </w:rPr>
        <w:t>a</w:t>
      </w:r>
      <w:r w:rsidRPr="005B2C53">
        <w:rPr>
          <w:rFonts w:asciiTheme="minorHAnsi" w:hAnsiTheme="minorHAnsi"/>
          <w:szCs w:val="22"/>
        </w:rPr>
        <w:t>.  The left side is dimensionless so we can write</w:t>
      </w:r>
    </w:p>
    <w:p w:rsidR="005B2C53" w:rsidRPr="005B2C53" w:rsidRDefault="005B2C53" w:rsidP="005B2C53">
      <w:pPr>
        <w:pStyle w:val="MTDisplayEquation"/>
        <w:spacing w:line="360" w:lineRule="auto"/>
        <w:rPr>
          <w:rFonts w:asciiTheme="minorHAnsi" w:hAnsiTheme="minorHAnsi"/>
          <w:szCs w:val="22"/>
        </w:rPr>
      </w:pPr>
      <w:r w:rsidRPr="005B2C53">
        <w:rPr>
          <w:rFonts w:asciiTheme="minorHAnsi" w:hAnsiTheme="minorHAnsi"/>
          <w:szCs w:val="22"/>
        </w:rPr>
        <w:tab/>
      </w:r>
      <w:r w:rsidRPr="005B2C53">
        <w:rPr>
          <w:rFonts w:asciiTheme="minorHAnsi" w:hAnsiTheme="minorHAnsi"/>
          <w:position w:val="-24"/>
          <w:szCs w:val="22"/>
        </w:rPr>
        <w:object w:dxaOrig="1040" w:dyaOrig="660">
          <v:shape id="_x0000_i1030" type="#_x0000_t75" style="width:51.75pt;height:33pt" o:ole="">
            <v:imagedata r:id="rId16" o:title=""/>
          </v:shape>
          <o:OLEObject Type="Embed" ProgID="Equation.DSMT4" ShapeID="_x0000_i1030" DrawAspect="Content" ObjectID="_1361100037" r:id="rId17"/>
        </w:object>
      </w:r>
      <w:r w:rsidRPr="005B2C53">
        <w:rPr>
          <w:rFonts w:asciiTheme="minorHAnsi" w:hAnsiTheme="minorHAnsi"/>
          <w:szCs w:val="22"/>
        </w:rPr>
        <w:tab/>
      </w:r>
      <w:r w:rsidR="00A85CA2" w:rsidRPr="005B2C53">
        <w:rPr>
          <w:rFonts w:asciiTheme="minorHAnsi" w:hAnsiTheme="minorHAnsi"/>
          <w:szCs w:val="22"/>
        </w:rPr>
        <w:fldChar w:fldCharType="begin"/>
      </w:r>
      <w:r w:rsidRPr="005B2C53">
        <w:rPr>
          <w:rFonts w:asciiTheme="minorHAnsi" w:hAnsiTheme="minorHAnsi"/>
          <w:szCs w:val="22"/>
        </w:rPr>
        <w:instrText xml:space="preserve"> MACROBUTTON MTPlaceRef \* MERGEFORMAT </w:instrText>
      </w:r>
      <w:r w:rsidR="00A85CA2" w:rsidRPr="005B2C53">
        <w:rPr>
          <w:rFonts w:asciiTheme="minorHAnsi" w:hAnsiTheme="minorHAnsi"/>
          <w:szCs w:val="22"/>
        </w:rPr>
        <w:fldChar w:fldCharType="begin"/>
      </w:r>
      <w:r w:rsidRPr="005B2C53">
        <w:rPr>
          <w:rFonts w:asciiTheme="minorHAnsi" w:hAnsiTheme="minorHAnsi"/>
          <w:szCs w:val="22"/>
        </w:rPr>
        <w:instrText xml:space="preserve"> SEQ MTEqn \h \* MERGEFORMAT </w:instrText>
      </w:r>
      <w:r w:rsidR="00A85CA2" w:rsidRPr="005B2C53">
        <w:rPr>
          <w:rFonts w:asciiTheme="minorHAnsi" w:hAnsiTheme="minorHAnsi"/>
          <w:szCs w:val="22"/>
        </w:rPr>
        <w:fldChar w:fldCharType="end"/>
      </w:r>
      <w:r w:rsidRPr="005B2C53">
        <w:rPr>
          <w:rFonts w:asciiTheme="minorHAnsi" w:hAnsiTheme="minorHAnsi"/>
          <w:szCs w:val="22"/>
        </w:rPr>
        <w:instrText>(</w:instrText>
      </w:r>
      <w:fldSimple w:instr=" SEQ MTEqn \c \* Arabic \* MERGEFORMAT ">
        <w:r w:rsidR="00AA5EA2" w:rsidRPr="00AA5EA2">
          <w:rPr>
            <w:rFonts w:asciiTheme="minorHAnsi" w:hAnsiTheme="minorHAnsi"/>
            <w:noProof/>
            <w:szCs w:val="22"/>
          </w:rPr>
          <w:instrText>3</w:instrText>
        </w:r>
      </w:fldSimple>
      <w:r w:rsidRPr="005B2C53">
        <w:rPr>
          <w:rFonts w:asciiTheme="minorHAnsi" w:hAnsiTheme="minorHAnsi"/>
          <w:szCs w:val="22"/>
        </w:rPr>
        <w:instrText>)</w:instrText>
      </w:r>
      <w:r w:rsidR="00A85CA2" w:rsidRPr="005B2C53">
        <w:rPr>
          <w:rFonts w:asciiTheme="minorHAnsi" w:hAnsiTheme="minorHAnsi"/>
          <w:szCs w:val="22"/>
        </w:rPr>
        <w:fldChar w:fldCharType="end"/>
      </w:r>
    </w:p>
    <w:p w:rsidR="005B2C53" w:rsidRPr="005B2C53" w:rsidRDefault="005B2C53" w:rsidP="005B2C53">
      <w:pPr>
        <w:spacing w:line="360" w:lineRule="auto"/>
        <w:rPr>
          <w:rFonts w:asciiTheme="minorHAnsi" w:hAnsiTheme="minorHAnsi"/>
          <w:szCs w:val="22"/>
        </w:rPr>
      </w:pPr>
      <w:proofErr w:type="gramStart"/>
      <w:r w:rsidRPr="005B2C53">
        <w:rPr>
          <w:rFonts w:asciiTheme="minorHAnsi" w:hAnsiTheme="minorHAnsi"/>
          <w:szCs w:val="22"/>
        </w:rPr>
        <w:t>which</w:t>
      </w:r>
      <w:proofErr w:type="gramEnd"/>
      <w:r w:rsidRPr="005B2C53">
        <w:rPr>
          <w:rFonts w:asciiTheme="minorHAnsi" w:hAnsiTheme="minorHAnsi"/>
          <w:szCs w:val="22"/>
        </w:rPr>
        <w:t xml:space="preserve"> is so say that </w:t>
      </w:r>
    </w:p>
    <w:p w:rsidR="005B2C53" w:rsidRPr="005B2C53" w:rsidRDefault="005B2C53" w:rsidP="005B2C53">
      <w:pPr>
        <w:pStyle w:val="MTDisplayEquation"/>
        <w:spacing w:line="360" w:lineRule="auto"/>
        <w:rPr>
          <w:rFonts w:asciiTheme="minorHAnsi" w:hAnsiTheme="minorHAnsi"/>
          <w:szCs w:val="22"/>
        </w:rPr>
      </w:pPr>
      <w:r w:rsidRPr="005B2C53">
        <w:rPr>
          <w:rFonts w:asciiTheme="minorHAnsi" w:hAnsiTheme="minorHAnsi"/>
          <w:szCs w:val="22"/>
        </w:rPr>
        <w:tab/>
      </w:r>
      <w:r w:rsidRPr="005B2C53">
        <w:rPr>
          <w:rFonts w:asciiTheme="minorHAnsi" w:hAnsiTheme="minorHAnsi"/>
          <w:position w:val="-12"/>
          <w:szCs w:val="22"/>
        </w:rPr>
        <w:object w:dxaOrig="940" w:dyaOrig="380">
          <v:shape id="_x0000_i1031" type="#_x0000_t75" style="width:47.25pt;height:18.75pt" o:ole="">
            <v:imagedata r:id="rId18" o:title=""/>
          </v:shape>
          <o:OLEObject Type="Embed" ProgID="Equation.DSMT4" ShapeID="_x0000_i1031" DrawAspect="Content" ObjectID="_1361100038" r:id="rId19"/>
        </w:object>
      </w:r>
      <w:r w:rsidRPr="005B2C53">
        <w:rPr>
          <w:rFonts w:asciiTheme="minorHAnsi" w:hAnsiTheme="minorHAnsi"/>
          <w:szCs w:val="22"/>
        </w:rPr>
        <w:tab/>
      </w:r>
      <w:r w:rsidR="00A85CA2" w:rsidRPr="005B2C53">
        <w:rPr>
          <w:rFonts w:asciiTheme="minorHAnsi" w:hAnsiTheme="minorHAnsi"/>
          <w:szCs w:val="22"/>
        </w:rPr>
        <w:fldChar w:fldCharType="begin"/>
      </w:r>
      <w:r w:rsidRPr="005B2C53">
        <w:rPr>
          <w:rFonts w:asciiTheme="minorHAnsi" w:hAnsiTheme="minorHAnsi"/>
          <w:szCs w:val="22"/>
        </w:rPr>
        <w:instrText xml:space="preserve"> MACROBUTTON MTPlaceRef \* MERGEFORMAT </w:instrText>
      </w:r>
      <w:r w:rsidR="00A85CA2" w:rsidRPr="005B2C53">
        <w:rPr>
          <w:rFonts w:asciiTheme="minorHAnsi" w:hAnsiTheme="minorHAnsi"/>
          <w:szCs w:val="22"/>
        </w:rPr>
        <w:fldChar w:fldCharType="begin"/>
      </w:r>
      <w:r w:rsidRPr="005B2C53">
        <w:rPr>
          <w:rFonts w:asciiTheme="minorHAnsi" w:hAnsiTheme="minorHAnsi"/>
          <w:szCs w:val="22"/>
        </w:rPr>
        <w:instrText xml:space="preserve"> SEQ MTEqn \h \* MERGEFORMAT </w:instrText>
      </w:r>
      <w:r w:rsidR="00A85CA2" w:rsidRPr="005B2C53">
        <w:rPr>
          <w:rFonts w:asciiTheme="minorHAnsi" w:hAnsiTheme="minorHAnsi"/>
          <w:szCs w:val="22"/>
        </w:rPr>
        <w:fldChar w:fldCharType="end"/>
      </w:r>
      <w:r w:rsidRPr="005B2C53">
        <w:rPr>
          <w:rFonts w:asciiTheme="minorHAnsi" w:hAnsiTheme="minorHAnsi"/>
          <w:szCs w:val="22"/>
        </w:rPr>
        <w:instrText>(</w:instrText>
      </w:r>
      <w:fldSimple w:instr=" SEQ MTEqn \c \* Arabic \* MERGEFORMAT ">
        <w:r w:rsidR="00AA5EA2" w:rsidRPr="00AA5EA2">
          <w:rPr>
            <w:rFonts w:asciiTheme="minorHAnsi" w:hAnsiTheme="minorHAnsi"/>
            <w:noProof/>
            <w:szCs w:val="22"/>
          </w:rPr>
          <w:instrText>4</w:instrText>
        </w:r>
      </w:fldSimple>
      <w:r w:rsidRPr="005B2C53">
        <w:rPr>
          <w:rFonts w:asciiTheme="minorHAnsi" w:hAnsiTheme="minorHAnsi"/>
          <w:szCs w:val="22"/>
        </w:rPr>
        <w:instrText>)</w:instrText>
      </w:r>
      <w:r w:rsidR="00A85CA2" w:rsidRPr="005B2C53">
        <w:rPr>
          <w:rFonts w:asciiTheme="minorHAnsi" w:hAnsiTheme="minorHAnsi"/>
          <w:szCs w:val="22"/>
        </w:rPr>
        <w:fldChar w:fldCharType="end"/>
      </w:r>
    </w:p>
    <w:p w:rsidR="005B2C53" w:rsidRPr="005B2C53" w:rsidRDefault="005B2C53" w:rsidP="005B2C53">
      <w:pPr>
        <w:spacing w:line="360" w:lineRule="auto"/>
        <w:rPr>
          <w:rFonts w:asciiTheme="minorHAnsi" w:hAnsiTheme="minorHAnsi"/>
          <w:szCs w:val="22"/>
        </w:rPr>
      </w:pPr>
      <w:r w:rsidRPr="005B2C53">
        <w:rPr>
          <w:rFonts w:asciiTheme="minorHAnsi" w:hAnsiTheme="minorHAnsi"/>
          <w:szCs w:val="22"/>
        </w:rPr>
        <w:t xml:space="preserve">Now </w:t>
      </w:r>
      <w:r w:rsidRPr="005B2C53">
        <w:rPr>
          <w:rFonts w:asciiTheme="minorHAnsi" w:hAnsiTheme="minorHAnsi"/>
          <w:position w:val="-4"/>
          <w:szCs w:val="22"/>
        </w:rPr>
        <w:object w:dxaOrig="260" w:dyaOrig="260">
          <v:shape id="_x0000_i1032" type="#_x0000_t75" style="width:12.75pt;height:12.75pt" o:ole="">
            <v:imagedata r:id="rId20" o:title=""/>
          </v:shape>
          <o:OLEObject Type="Embed" ProgID="Equation.DSMT4" ShapeID="_x0000_i1032" DrawAspect="Content" ObjectID="_1361100039" r:id="rId21"/>
        </w:object>
      </w:r>
      <w:r w:rsidRPr="005B2C53">
        <w:rPr>
          <w:rFonts w:asciiTheme="minorHAnsi" w:hAnsiTheme="minorHAnsi"/>
          <w:szCs w:val="22"/>
        </w:rPr>
        <w:t xml:space="preserve">is an unknown constant of proportionality, but we know that it must be some function of the wavelength since it is the only other parameter that has units of length.  That means we can </w:t>
      </w:r>
      <w:proofErr w:type="gramStart"/>
      <w:r w:rsidRPr="005B2C53">
        <w:rPr>
          <w:rFonts w:asciiTheme="minorHAnsi" w:hAnsiTheme="minorHAnsi"/>
          <w:szCs w:val="22"/>
        </w:rPr>
        <w:t xml:space="preserve">write </w:t>
      </w:r>
      <w:proofErr w:type="gramEnd"/>
      <w:r w:rsidRPr="005B2C53">
        <w:rPr>
          <w:rFonts w:asciiTheme="minorHAnsi" w:hAnsiTheme="minorHAnsi"/>
          <w:position w:val="-14"/>
          <w:szCs w:val="22"/>
        </w:rPr>
        <w:object w:dxaOrig="780" w:dyaOrig="420">
          <v:shape id="_x0000_i1033" type="#_x0000_t75" style="width:39pt;height:21pt" o:ole="">
            <v:imagedata r:id="rId22" o:title=""/>
          </v:shape>
          <o:OLEObject Type="Embed" ProgID="Equation.DSMT4" ShapeID="_x0000_i1033" DrawAspect="Content" ObjectID="_1361100040" r:id="rId23"/>
        </w:object>
      </w:r>
      <w:r w:rsidRPr="005B2C53">
        <w:rPr>
          <w:rFonts w:asciiTheme="minorHAnsi" w:hAnsiTheme="minorHAnsi"/>
          <w:szCs w:val="22"/>
        </w:rPr>
        <w:t xml:space="preserve">.  If you consider a series expansion of this function, the first term must be </w:t>
      </w:r>
    </w:p>
    <w:p w:rsidR="005B2C53" w:rsidRPr="005B2C53" w:rsidRDefault="005B2C53" w:rsidP="005B2C53">
      <w:pPr>
        <w:pStyle w:val="MTDisplayEquation"/>
        <w:spacing w:line="360" w:lineRule="auto"/>
        <w:rPr>
          <w:rFonts w:asciiTheme="minorHAnsi" w:hAnsiTheme="minorHAnsi"/>
          <w:szCs w:val="22"/>
        </w:rPr>
      </w:pPr>
      <w:r w:rsidRPr="005B2C53">
        <w:rPr>
          <w:rFonts w:asciiTheme="minorHAnsi" w:hAnsiTheme="minorHAnsi"/>
          <w:szCs w:val="22"/>
        </w:rPr>
        <w:tab/>
      </w:r>
      <w:r w:rsidRPr="005B2C53">
        <w:rPr>
          <w:rFonts w:asciiTheme="minorHAnsi" w:hAnsiTheme="minorHAnsi"/>
          <w:position w:val="-14"/>
          <w:szCs w:val="22"/>
        </w:rPr>
        <w:object w:dxaOrig="1860" w:dyaOrig="420">
          <v:shape id="_x0000_i1034" type="#_x0000_t75" style="width:93pt;height:21pt" o:ole="">
            <v:imagedata r:id="rId24" o:title=""/>
          </v:shape>
          <o:OLEObject Type="Embed" ProgID="Equation.DSMT4" ShapeID="_x0000_i1034" DrawAspect="Content" ObjectID="_1361100041" r:id="rId25"/>
        </w:object>
      </w:r>
      <w:r w:rsidRPr="005B2C53">
        <w:rPr>
          <w:rFonts w:asciiTheme="minorHAnsi" w:hAnsiTheme="minorHAnsi"/>
          <w:szCs w:val="22"/>
        </w:rPr>
        <w:t>.</w:t>
      </w:r>
      <w:r w:rsidRPr="005B2C53">
        <w:rPr>
          <w:rFonts w:asciiTheme="minorHAnsi" w:hAnsiTheme="minorHAnsi"/>
          <w:szCs w:val="22"/>
        </w:rPr>
        <w:tab/>
      </w:r>
      <w:r w:rsidR="00A85CA2" w:rsidRPr="005B2C53">
        <w:rPr>
          <w:rFonts w:asciiTheme="minorHAnsi" w:hAnsiTheme="minorHAnsi"/>
          <w:szCs w:val="22"/>
        </w:rPr>
        <w:fldChar w:fldCharType="begin"/>
      </w:r>
      <w:r w:rsidRPr="005B2C53">
        <w:rPr>
          <w:rFonts w:asciiTheme="minorHAnsi" w:hAnsiTheme="minorHAnsi"/>
          <w:szCs w:val="22"/>
        </w:rPr>
        <w:instrText xml:space="preserve"> MACROBUTTON MTPlaceRef \* MERGEFORMAT </w:instrText>
      </w:r>
      <w:r w:rsidR="00A85CA2" w:rsidRPr="005B2C53">
        <w:rPr>
          <w:rFonts w:asciiTheme="minorHAnsi" w:hAnsiTheme="minorHAnsi"/>
          <w:szCs w:val="22"/>
        </w:rPr>
        <w:fldChar w:fldCharType="begin"/>
      </w:r>
      <w:r w:rsidRPr="005B2C53">
        <w:rPr>
          <w:rFonts w:asciiTheme="minorHAnsi" w:hAnsiTheme="minorHAnsi"/>
          <w:szCs w:val="22"/>
        </w:rPr>
        <w:instrText xml:space="preserve"> SEQ MTEqn \h \* MERGEFORMAT </w:instrText>
      </w:r>
      <w:r w:rsidR="00A85CA2" w:rsidRPr="005B2C53">
        <w:rPr>
          <w:rFonts w:asciiTheme="minorHAnsi" w:hAnsiTheme="minorHAnsi"/>
          <w:szCs w:val="22"/>
        </w:rPr>
        <w:fldChar w:fldCharType="end"/>
      </w:r>
      <w:r w:rsidRPr="005B2C53">
        <w:rPr>
          <w:rFonts w:asciiTheme="minorHAnsi" w:hAnsiTheme="minorHAnsi"/>
          <w:szCs w:val="22"/>
        </w:rPr>
        <w:instrText>(</w:instrText>
      </w:r>
      <w:fldSimple w:instr=" SEQ MTEqn \c \* Arabic \* MERGEFORMAT ">
        <w:r w:rsidR="00AA5EA2" w:rsidRPr="00AA5EA2">
          <w:rPr>
            <w:rFonts w:asciiTheme="minorHAnsi" w:hAnsiTheme="minorHAnsi"/>
            <w:noProof/>
            <w:szCs w:val="22"/>
          </w:rPr>
          <w:instrText>5</w:instrText>
        </w:r>
      </w:fldSimple>
      <w:r w:rsidRPr="005B2C53">
        <w:rPr>
          <w:rFonts w:asciiTheme="minorHAnsi" w:hAnsiTheme="minorHAnsi"/>
          <w:szCs w:val="22"/>
        </w:rPr>
        <w:instrText>)</w:instrText>
      </w:r>
      <w:r w:rsidR="00A85CA2" w:rsidRPr="005B2C53">
        <w:rPr>
          <w:rFonts w:asciiTheme="minorHAnsi" w:hAnsiTheme="minorHAnsi"/>
          <w:szCs w:val="22"/>
        </w:rPr>
        <w:fldChar w:fldCharType="end"/>
      </w:r>
    </w:p>
    <w:p w:rsidR="005B2C53" w:rsidRPr="005B2C53" w:rsidRDefault="005B2C53" w:rsidP="005B2C53">
      <w:pPr>
        <w:spacing w:line="360" w:lineRule="auto"/>
        <w:rPr>
          <w:rFonts w:asciiTheme="minorHAnsi" w:hAnsiTheme="minorHAnsi"/>
          <w:szCs w:val="22"/>
        </w:rPr>
      </w:pPr>
      <w:r w:rsidRPr="005B2C53">
        <w:rPr>
          <w:rFonts w:asciiTheme="minorHAnsi" w:hAnsiTheme="minorHAnsi"/>
          <w:szCs w:val="22"/>
        </w:rPr>
        <w:t>Putting this all together we have</w:t>
      </w:r>
    </w:p>
    <w:p w:rsidR="005B2C53" w:rsidRPr="005B2C53" w:rsidRDefault="005B2C53" w:rsidP="005B2C53">
      <w:pPr>
        <w:pStyle w:val="MTDisplayEquation"/>
        <w:spacing w:line="360" w:lineRule="auto"/>
        <w:rPr>
          <w:rFonts w:asciiTheme="minorHAnsi" w:hAnsiTheme="minorHAnsi"/>
          <w:szCs w:val="22"/>
        </w:rPr>
      </w:pPr>
      <w:r w:rsidRPr="005B2C53">
        <w:rPr>
          <w:rFonts w:asciiTheme="minorHAnsi" w:hAnsiTheme="minorHAnsi"/>
          <w:szCs w:val="22"/>
        </w:rPr>
        <w:tab/>
      </w:r>
      <w:r w:rsidRPr="005B2C53">
        <w:rPr>
          <w:rFonts w:asciiTheme="minorHAnsi" w:hAnsiTheme="minorHAnsi"/>
          <w:position w:val="-24"/>
          <w:szCs w:val="22"/>
        </w:rPr>
        <w:object w:dxaOrig="2240" w:dyaOrig="660">
          <v:shape id="_x0000_i1035" type="#_x0000_t75" style="width:111.75pt;height:33pt" o:ole="">
            <v:imagedata r:id="rId26" o:title=""/>
          </v:shape>
          <o:OLEObject Type="Embed" ProgID="Equation.DSMT4" ShapeID="_x0000_i1035" DrawAspect="Content" ObjectID="_1361100042" r:id="rId27"/>
        </w:object>
      </w:r>
      <w:r w:rsidRPr="005B2C53">
        <w:rPr>
          <w:rFonts w:asciiTheme="minorHAnsi" w:hAnsiTheme="minorHAnsi"/>
          <w:szCs w:val="22"/>
        </w:rPr>
        <w:tab/>
      </w:r>
      <w:r w:rsidR="00A85CA2" w:rsidRPr="005B2C53">
        <w:rPr>
          <w:rFonts w:asciiTheme="minorHAnsi" w:hAnsiTheme="minorHAnsi"/>
          <w:szCs w:val="22"/>
        </w:rPr>
        <w:fldChar w:fldCharType="begin"/>
      </w:r>
      <w:r w:rsidRPr="005B2C53">
        <w:rPr>
          <w:rFonts w:asciiTheme="minorHAnsi" w:hAnsiTheme="minorHAnsi"/>
          <w:szCs w:val="22"/>
        </w:rPr>
        <w:instrText xml:space="preserve"> MACROBUTTON MTPlaceRef \* MERGEFORMAT </w:instrText>
      </w:r>
      <w:r w:rsidR="00A85CA2" w:rsidRPr="005B2C53">
        <w:rPr>
          <w:rFonts w:asciiTheme="minorHAnsi" w:hAnsiTheme="minorHAnsi"/>
          <w:szCs w:val="22"/>
        </w:rPr>
        <w:fldChar w:fldCharType="begin"/>
      </w:r>
      <w:r w:rsidRPr="005B2C53">
        <w:rPr>
          <w:rFonts w:asciiTheme="minorHAnsi" w:hAnsiTheme="minorHAnsi"/>
          <w:szCs w:val="22"/>
        </w:rPr>
        <w:instrText xml:space="preserve"> SEQ MTEqn \h \* MERGEFORMAT </w:instrText>
      </w:r>
      <w:r w:rsidR="00A85CA2" w:rsidRPr="005B2C53">
        <w:rPr>
          <w:rFonts w:asciiTheme="minorHAnsi" w:hAnsiTheme="minorHAnsi"/>
          <w:szCs w:val="22"/>
        </w:rPr>
        <w:fldChar w:fldCharType="end"/>
      </w:r>
      <w:r w:rsidRPr="005B2C53">
        <w:rPr>
          <w:rFonts w:asciiTheme="minorHAnsi" w:hAnsiTheme="minorHAnsi"/>
          <w:szCs w:val="22"/>
        </w:rPr>
        <w:instrText>(</w:instrText>
      </w:r>
      <w:fldSimple w:instr=" SEQ MTEqn \c \* Arabic \* MERGEFORMAT ">
        <w:r w:rsidR="00AA5EA2" w:rsidRPr="00AA5EA2">
          <w:rPr>
            <w:rFonts w:asciiTheme="minorHAnsi" w:hAnsiTheme="minorHAnsi"/>
            <w:noProof/>
            <w:szCs w:val="22"/>
          </w:rPr>
          <w:instrText>6</w:instrText>
        </w:r>
      </w:fldSimple>
      <w:r w:rsidRPr="005B2C53">
        <w:rPr>
          <w:rFonts w:asciiTheme="minorHAnsi" w:hAnsiTheme="minorHAnsi"/>
          <w:szCs w:val="22"/>
        </w:rPr>
        <w:instrText>)</w:instrText>
      </w:r>
      <w:r w:rsidR="00A85CA2" w:rsidRPr="005B2C53">
        <w:rPr>
          <w:rFonts w:asciiTheme="minorHAnsi" w:hAnsiTheme="minorHAnsi"/>
          <w:szCs w:val="22"/>
        </w:rPr>
        <w:fldChar w:fldCharType="end"/>
      </w:r>
    </w:p>
    <w:p w:rsidR="001C0192" w:rsidRDefault="005B2C53" w:rsidP="005B2C53">
      <w:pPr>
        <w:spacing w:line="360" w:lineRule="auto"/>
        <w:rPr>
          <w:rFonts w:asciiTheme="minorHAnsi" w:hAnsiTheme="minorHAnsi"/>
          <w:szCs w:val="22"/>
        </w:rPr>
      </w:pPr>
      <w:r w:rsidRPr="005B2C53">
        <w:rPr>
          <w:rFonts w:asciiTheme="minorHAnsi" w:hAnsiTheme="minorHAnsi"/>
          <w:szCs w:val="22"/>
        </w:rPr>
        <w:t>In words this means that the scattered intensity of a small particle is proportional to the incident intensity, the square of the particle volume, and inversely proportional to the wavelength to the fourth power, and the square of the distance to the scatterer.</w:t>
      </w:r>
    </w:p>
    <w:p w:rsidR="005B2C53" w:rsidRPr="001C0192" w:rsidRDefault="001C0192" w:rsidP="00B858C1">
      <w:pPr>
        <w:spacing w:before="120" w:line="360" w:lineRule="auto"/>
        <w:rPr>
          <w:rFonts w:asciiTheme="minorHAnsi" w:hAnsiTheme="minorHAnsi"/>
          <w:i/>
          <w:sz w:val="22"/>
          <w:szCs w:val="22"/>
        </w:rPr>
      </w:pPr>
      <w:r w:rsidRPr="001C0192">
        <w:rPr>
          <w:rFonts w:asciiTheme="minorHAnsi" w:hAnsiTheme="minorHAnsi"/>
          <w:i/>
          <w:sz w:val="22"/>
          <w:szCs w:val="22"/>
        </w:rPr>
        <w:t xml:space="preserve">Reference:  The Physics </w:t>
      </w:r>
      <w:proofErr w:type="gramStart"/>
      <w:r w:rsidRPr="001C0192">
        <w:rPr>
          <w:rFonts w:asciiTheme="minorHAnsi" w:hAnsiTheme="minorHAnsi"/>
          <w:i/>
          <w:sz w:val="22"/>
          <w:szCs w:val="22"/>
        </w:rPr>
        <w:t>Teacher,</w:t>
      </w:r>
      <w:proofErr w:type="gramEnd"/>
      <w:r w:rsidRPr="001C0192">
        <w:rPr>
          <w:rFonts w:asciiTheme="minorHAnsi" w:hAnsiTheme="minorHAnsi"/>
          <w:i/>
          <w:sz w:val="22"/>
          <w:szCs w:val="22"/>
        </w:rPr>
        <w:t xml:space="preserve"> May 1985, 267-272</w:t>
      </w:r>
      <w:r w:rsidR="005B2C53" w:rsidRPr="001C0192">
        <w:rPr>
          <w:b/>
          <w:i/>
        </w:rPr>
        <w:br w:type="page"/>
      </w:r>
    </w:p>
    <w:p w:rsidR="00E55406" w:rsidRPr="00434F7C" w:rsidRDefault="003573E7" w:rsidP="00434F7C">
      <w:pPr>
        <w:jc w:val="center"/>
        <w:rPr>
          <w:b/>
          <w:sz w:val="28"/>
        </w:rPr>
      </w:pPr>
      <w:r w:rsidRPr="00434F7C">
        <w:rPr>
          <w:b/>
          <w:sz w:val="28"/>
        </w:rPr>
        <w:lastRenderedPageBreak/>
        <w:t>Convertin</w:t>
      </w:r>
      <w:r w:rsidR="005B2C53">
        <w:rPr>
          <w:b/>
          <w:sz w:val="28"/>
        </w:rPr>
        <w:t>g the Light Scattering Equation</w:t>
      </w:r>
      <w:r w:rsidRPr="00434F7C">
        <w:rPr>
          <w:b/>
          <w:sz w:val="28"/>
        </w:rPr>
        <w:t>:</w:t>
      </w:r>
    </w:p>
    <w:p w:rsidR="003573E7" w:rsidRPr="003573E7" w:rsidRDefault="003573E7"/>
    <w:p w:rsidR="003334AE" w:rsidRDefault="003334AE"/>
    <w:p w:rsidR="003334AE" w:rsidRPr="003334AE" w:rsidRDefault="003334AE">
      <w:pPr>
        <w:rPr>
          <w:b/>
        </w:rPr>
      </w:pPr>
      <w:r w:rsidRPr="003334AE">
        <w:rPr>
          <w:b/>
        </w:rPr>
        <w:t>Zimm’s equation:</w:t>
      </w:r>
    </w:p>
    <w:p w:rsidR="003334AE" w:rsidRDefault="003334AE"/>
    <w:p w:rsidR="003573E7" w:rsidRPr="003573E7" w:rsidRDefault="003573E7">
      <w:r w:rsidRPr="003573E7">
        <w:t>Start with:</w:t>
      </w:r>
    </w:p>
    <w:p w:rsidR="003573E7" w:rsidRPr="003573E7" w:rsidRDefault="003573E7" w:rsidP="00D606CB">
      <w:pPr>
        <w:jc w:val="center"/>
      </w:pPr>
      <m:oMathPara>
        <m:oMath>
          <m:r>
            <w:rPr>
              <w:rFonts w:ascii="Cambria Math" w:hAnsi="Cambria Math"/>
            </w:rPr>
            <m:t>R</m:t>
          </m:r>
          <m:d>
            <m:dPr>
              <m:ctrlPr>
                <w:rPr>
                  <w:rFonts w:ascii="Cambria Math" w:hAnsi="Cambria Math"/>
                  <w:i/>
                </w:rPr>
              </m:ctrlPr>
            </m:dPr>
            <m:e>
              <m:r>
                <w:rPr>
                  <w:rFonts w:ascii="Cambria Math" w:hAnsi="Cambria Math"/>
                </w:rPr>
                <m:t>θ</m:t>
              </m:r>
            </m:e>
          </m:d>
          <m:r>
            <w:rPr>
              <w:rFonts w:ascii="Cambria Math" w:hAnsi="Cambria Math"/>
            </w:rPr>
            <m:t>=</m:t>
          </m:r>
          <m:sSup>
            <m:sSupPr>
              <m:ctrlPr>
                <w:rPr>
                  <w:rFonts w:ascii="Cambria Math" w:hAnsi="Cambria Math"/>
                  <w:i/>
                </w:rPr>
              </m:ctrlPr>
            </m:sSupPr>
            <m:e>
              <m:r>
                <w:rPr>
                  <w:rFonts w:ascii="Cambria Math" w:hAnsi="Cambria Math"/>
                </w:rPr>
                <m:t>K</m:t>
              </m:r>
            </m:e>
            <m:sup>
              <m:r>
                <w:rPr>
                  <w:rFonts w:ascii="Cambria Math" w:hAnsi="Cambria Math"/>
                </w:rPr>
                <m:t>*</m:t>
              </m:r>
            </m:sup>
          </m:sSup>
          <m:r>
            <w:rPr>
              <w:rFonts w:ascii="Cambria Math" w:hAnsi="Cambria Math"/>
            </w:rPr>
            <m:t>McP</m:t>
          </m:r>
          <m:d>
            <m:dPr>
              <m:ctrlPr>
                <w:rPr>
                  <w:rFonts w:ascii="Cambria Math" w:hAnsi="Cambria Math"/>
                  <w:i/>
                </w:rPr>
              </m:ctrlPr>
            </m:dPr>
            <m:e>
              <m:r>
                <w:rPr>
                  <w:rFonts w:ascii="Cambria Math" w:hAnsi="Cambria Math"/>
                </w:rPr>
                <m:t>θ</m:t>
              </m:r>
            </m:e>
          </m:d>
          <m:d>
            <m:dPr>
              <m:begChr m:val="["/>
              <m:endChr m:val="]"/>
              <m:ctrlPr>
                <w:rPr>
                  <w:rFonts w:ascii="Cambria Math" w:hAnsi="Cambria Math"/>
                  <w:i/>
                </w:rPr>
              </m:ctrlPr>
            </m:dPr>
            <m:e>
              <m:r>
                <w:rPr>
                  <w:rFonts w:ascii="Cambria Math" w:hAnsi="Cambria Math"/>
                </w:rPr>
                <m:t>1-2</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McP</m:t>
              </m:r>
              <m:d>
                <m:dPr>
                  <m:ctrlPr>
                    <w:rPr>
                      <w:rFonts w:ascii="Cambria Math" w:hAnsi="Cambria Math"/>
                      <w:i/>
                    </w:rPr>
                  </m:ctrlPr>
                </m:dPr>
                <m:e>
                  <m:r>
                    <w:rPr>
                      <w:rFonts w:ascii="Cambria Math" w:hAnsi="Cambria Math"/>
                    </w:rPr>
                    <m:t>θ</m:t>
                  </m:r>
                </m:e>
              </m:d>
            </m:e>
          </m:d>
        </m:oMath>
      </m:oMathPara>
    </w:p>
    <w:p w:rsidR="003573E7" w:rsidRPr="003573E7" w:rsidRDefault="003573E7"/>
    <w:p w:rsidR="003573E7" w:rsidRPr="003573E7" w:rsidRDefault="003573E7">
      <w:r w:rsidRPr="003573E7">
        <w:t>Rearrange such that:</w:t>
      </w:r>
    </w:p>
    <w:p w:rsidR="003573E7" w:rsidRDefault="00A85CA2">
      <m:oMathPara>
        <m:oMath>
          <m:f>
            <m:fPr>
              <m:ctrlPr>
                <w:rPr>
                  <w:rFonts w:ascii="Cambria Math" w:hAnsi="Cambria Math"/>
                  <w:i/>
                </w:rPr>
              </m:ctrlPr>
            </m:fPr>
            <m:num>
              <m:sSup>
                <m:sSupPr>
                  <m:ctrlPr>
                    <w:rPr>
                      <w:rFonts w:ascii="Cambria Math" w:hAnsi="Cambria Math"/>
                      <w:i/>
                    </w:rPr>
                  </m:ctrlPr>
                </m:sSupPr>
                <m:e>
                  <m:r>
                    <w:rPr>
                      <w:rFonts w:ascii="Cambria Math" w:hAnsi="Cambria Math"/>
                    </w:rPr>
                    <m:t>K</m:t>
                  </m:r>
                </m:e>
                <m:sup>
                  <m:r>
                    <w:rPr>
                      <w:rFonts w:ascii="Cambria Math" w:hAnsi="Cambria Math"/>
                    </w:rPr>
                    <m:t>*</m:t>
                  </m:r>
                </m:sup>
              </m:sSup>
              <m:r>
                <w:rPr>
                  <w:rFonts w:ascii="Cambria Math" w:hAnsi="Cambria Math"/>
                </w:rPr>
                <m:t>c</m:t>
              </m:r>
            </m:num>
            <m:den>
              <m:r>
                <w:rPr>
                  <w:rFonts w:ascii="Cambria Math" w:hAnsi="Cambria Math"/>
                </w:rPr>
                <m:t>R</m:t>
              </m:r>
              <m:d>
                <m:dPr>
                  <m:ctrlPr>
                    <w:rPr>
                      <w:rFonts w:ascii="Cambria Math" w:hAnsi="Cambria Math"/>
                      <w:i/>
                    </w:rPr>
                  </m:ctrlPr>
                </m:dPr>
                <m:e>
                  <m:r>
                    <w:rPr>
                      <w:rFonts w:ascii="Cambria Math" w:hAnsi="Cambria Math"/>
                    </w:rPr>
                    <m:t>θ</m:t>
                  </m:r>
                </m:e>
              </m:d>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MP</m:t>
              </m:r>
              <m:d>
                <m:dPr>
                  <m:ctrlPr>
                    <w:rPr>
                      <w:rFonts w:ascii="Cambria Math" w:hAnsi="Cambria Math"/>
                      <w:i/>
                    </w:rPr>
                  </m:ctrlPr>
                </m:dPr>
                <m:e>
                  <m:r>
                    <w:rPr>
                      <w:rFonts w:ascii="Cambria Math" w:hAnsi="Cambria Math"/>
                    </w:rPr>
                    <m:t>θ</m:t>
                  </m:r>
                </m:e>
              </m:d>
              <m:d>
                <m:dPr>
                  <m:begChr m:val="["/>
                  <m:endChr m:val="]"/>
                  <m:ctrlPr>
                    <w:rPr>
                      <w:rFonts w:ascii="Cambria Math" w:hAnsi="Cambria Math"/>
                      <w:i/>
                    </w:rPr>
                  </m:ctrlPr>
                </m:dPr>
                <m:e>
                  <m:r>
                    <w:rPr>
                      <w:rFonts w:ascii="Cambria Math" w:hAnsi="Cambria Math"/>
                    </w:rPr>
                    <m:t>1-2</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McP</m:t>
                  </m:r>
                  <m:d>
                    <m:dPr>
                      <m:ctrlPr>
                        <w:rPr>
                          <w:rFonts w:ascii="Cambria Math" w:hAnsi="Cambria Math"/>
                          <w:i/>
                        </w:rPr>
                      </m:ctrlPr>
                    </m:dPr>
                    <m:e>
                      <m:r>
                        <w:rPr>
                          <w:rFonts w:ascii="Cambria Math" w:hAnsi="Cambria Math"/>
                        </w:rPr>
                        <m:t>θ</m:t>
                      </m:r>
                    </m:e>
                  </m:d>
                </m:e>
              </m:d>
            </m:den>
          </m:f>
        </m:oMath>
      </m:oMathPara>
    </w:p>
    <w:p w:rsidR="00434F7C" w:rsidRPr="003573E7" w:rsidRDefault="00434F7C"/>
    <w:p w:rsidR="003573E7" w:rsidRDefault="003573E7">
      <w:r w:rsidRPr="003573E7">
        <w:t xml:space="preserve">Since the term </w:t>
      </w:r>
      <m:oMath>
        <m:d>
          <m:dPr>
            <m:begChr m:val="["/>
            <m:endChr m:val="]"/>
            <m:ctrlPr>
              <w:rPr>
                <w:rFonts w:ascii="Cambria Math" w:hAnsi="Cambria Math"/>
                <w:i/>
              </w:rPr>
            </m:ctrlPr>
          </m:dPr>
          <m:e>
            <m:r>
              <w:rPr>
                <w:rFonts w:ascii="Cambria Math" w:hAnsi="Cambria Math"/>
              </w:rPr>
              <m:t>2</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McP</m:t>
            </m:r>
            <m:d>
              <m:dPr>
                <m:ctrlPr>
                  <w:rPr>
                    <w:rFonts w:ascii="Cambria Math" w:hAnsi="Cambria Math"/>
                    <w:i/>
                  </w:rPr>
                </m:ctrlPr>
              </m:dPr>
              <m:e>
                <m:r>
                  <w:rPr>
                    <w:rFonts w:ascii="Cambria Math" w:hAnsi="Cambria Math"/>
                  </w:rPr>
                  <m:t>θ</m:t>
                </m:r>
              </m:e>
            </m:d>
          </m:e>
        </m:d>
      </m:oMath>
      <w:r>
        <w:t xml:space="preserve"> is small compared to </w:t>
      </w:r>
      <w:r w:rsidR="00D606CB">
        <w:t>one</w:t>
      </w:r>
      <w:r>
        <w:t xml:space="preserve">, </w:t>
      </w:r>
      <w:r w:rsidR="00B858C1">
        <w:t>one</w:t>
      </w:r>
      <w:r>
        <w:t xml:space="preserve"> can make use of the Taylor expansion and truncate after the linear term:</w:t>
      </w:r>
    </w:p>
    <w:p w:rsidR="003573E7" w:rsidRDefault="00A85CA2">
      <m:oMathPara>
        <m:oMath>
          <m:f>
            <m:fPr>
              <m:ctrlPr>
                <w:rPr>
                  <w:rFonts w:ascii="Cambria Math" w:hAnsi="Cambria Math"/>
                  <w:i/>
                </w:rPr>
              </m:ctrlPr>
            </m:fPr>
            <m:num>
              <m:r>
                <w:rPr>
                  <w:rFonts w:ascii="Cambria Math" w:hAnsi="Cambria Math"/>
                </w:rPr>
                <m:t>1</m:t>
              </m:r>
            </m:num>
            <m:den>
              <m:r>
                <w:rPr>
                  <w:rFonts w:ascii="Cambria Math" w:hAnsi="Cambria Math"/>
                </w:rPr>
                <m:t>1-x</m:t>
              </m:r>
            </m:den>
          </m:f>
          <m:r>
            <w:rPr>
              <w:rFonts w:ascii="Cambria Math" w:hAnsi="Cambria Math"/>
            </w:rPr>
            <m:t>=1+x+</m:t>
          </m:r>
          <m:sSup>
            <m:sSupPr>
              <m:ctrlPr>
                <w:rPr>
                  <w:rFonts w:ascii="Cambria Math" w:hAnsi="Cambria Math"/>
                  <w:i/>
                </w:rPr>
              </m:ctrlPr>
            </m:sSupPr>
            <m:e>
              <m:r>
                <w:rPr>
                  <w:rFonts w:ascii="Cambria Math" w:hAnsi="Cambria Math"/>
                </w:rPr>
                <m:t>x</m:t>
              </m:r>
            </m:e>
            <m:sup>
              <m:r>
                <w:rPr>
                  <w:rFonts w:ascii="Cambria Math" w:hAnsi="Cambria Math"/>
                </w:rPr>
                <m:t>2</m:t>
              </m:r>
            </m:sup>
          </m:sSup>
          <m:r>
            <w:rPr>
              <w:rFonts w:ascii="Cambria Math" w:hAnsi="Cambria Math"/>
            </w:rPr>
            <m:t>+ …</m:t>
          </m:r>
        </m:oMath>
      </m:oMathPara>
    </w:p>
    <w:p w:rsidR="00434F7C" w:rsidRDefault="00434F7C"/>
    <w:p w:rsidR="003573E7" w:rsidRPr="003573E7" w:rsidRDefault="00434F7C">
      <w:r>
        <w:t>Then the LS equation becomes:</w:t>
      </w:r>
    </w:p>
    <w:p w:rsidR="003573E7" w:rsidRDefault="00A85CA2">
      <m:oMathPara>
        <m:oMath>
          <m:f>
            <m:fPr>
              <m:ctrlPr>
                <w:rPr>
                  <w:rFonts w:ascii="Cambria Math" w:hAnsi="Cambria Math"/>
                  <w:i/>
                </w:rPr>
              </m:ctrlPr>
            </m:fPr>
            <m:num>
              <m:sSup>
                <m:sSupPr>
                  <m:ctrlPr>
                    <w:rPr>
                      <w:rFonts w:ascii="Cambria Math" w:hAnsi="Cambria Math"/>
                      <w:i/>
                    </w:rPr>
                  </m:ctrlPr>
                </m:sSupPr>
                <m:e>
                  <m:r>
                    <w:rPr>
                      <w:rFonts w:ascii="Cambria Math" w:hAnsi="Cambria Math"/>
                    </w:rPr>
                    <m:t>K</m:t>
                  </m:r>
                </m:e>
                <m:sup>
                  <m:r>
                    <w:rPr>
                      <w:rFonts w:ascii="Cambria Math" w:hAnsi="Cambria Math"/>
                    </w:rPr>
                    <m:t>*</m:t>
                  </m:r>
                </m:sup>
              </m:sSup>
              <m:r>
                <w:rPr>
                  <w:rFonts w:ascii="Cambria Math" w:hAnsi="Cambria Math"/>
                </w:rPr>
                <m:t>c</m:t>
              </m:r>
            </m:num>
            <m:den>
              <m:r>
                <w:rPr>
                  <w:rFonts w:ascii="Cambria Math" w:hAnsi="Cambria Math"/>
                </w:rPr>
                <m:t>R</m:t>
              </m:r>
              <m:d>
                <m:dPr>
                  <m:ctrlPr>
                    <w:rPr>
                      <w:rFonts w:ascii="Cambria Math" w:hAnsi="Cambria Math"/>
                      <w:i/>
                    </w:rPr>
                  </m:ctrlPr>
                </m:dPr>
                <m:e>
                  <m:r>
                    <w:rPr>
                      <w:rFonts w:ascii="Cambria Math" w:hAnsi="Cambria Math"/>
                    </w:rPr>
                    <m:t>θ</m:t>
                  </m:r>
                </m:e>
              </m:d>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MP</m:t>
              </m:r>
              <m:d>
                <m:dPr>
                  <m:ctrlPr>
                    <w:rPr>
                      <w:rFonts w:ascii="Cambria Math" w:hAnsi="Cambria Math"/>
                      <w:i/>
                    </w:rPr>
                  </m:ctrlPr>
                </m:dPr>
                <m:e>
                  <m:r>
                    <w:rPr>
                      <w:rFonts w:ascii="Cambria Math" w:hAnsi="Cambria Math"/>
                    </w:rPr>
                    <m:t>θ</m:t>
                  </m:r>
                </m:e>
              </m:d>
            </m:den>
          </m:f>
          <m:r>
            <w:rPr>
              <w:rFonts w:ascii="Cambria Math" w:hAnsi="Cambria Math"/>
            </w:rPr>
            <m:t>+</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McP</m:t>
              </m:r>
              <m:d>
                <m:dPr>
                  <m:ctrlPr>
                    <w:rPr>
                      <w:rFonts w:ascii="Cambria Math" w:hAnsi="Cambria Math"/>
                      <w:i/>
                    </w:rPr>
                  </m:ctrlPr>
                </m:dPr>
                <m:e>
                  <m:r>
                    <w:rPr>
                      <w:rFonts w:ascii="Cambria Math" w:hAnsi="Cambria Math"/>
                    </w:rPr>
                    <m:t>θ</m:t>
                  </m:r>
                </m:e>
              </m:d>
            </m:num>
            <m:den>
              <m:r>
                <w:rPr>
                  <w:rFonts w:ascii="Cambria Math" w:hAnsi="Cambria Math"/>
                </w:rPr>
                <m:t>MP</m:t>
              </m:r>
              <m:d>
                <m:dPr>
                  <m:ctrlPr>
                    <w:rPr>
                      <w:rFonts w:ascii="Cambria Math" w:hAnsi="Cambria Math"/>
                      <w:i/>
                    </w:rPr>
                  </m:ctrlPr>
                </m:dPr>
                <m:e>
                  <m:r>
                    <w:rPr>
                      <w:rFonts w:ascii="Cambria Math" w:hAnsi="Cambria Math"/>
                    </w:rPr>
                    <m:t>θ</m:t>
                  </m:r>
                </m:e>
              </m:d>
            </m:den>
          </m:f>
        </m:oMath>
      </m:oMathPara>
    </w:p>
    <w:p w:rsidR="00434F7C" w:rsidRPr="003573E7" w:rsidRDefault="00434F7C"/>
    <w:p w:rsidR="003573E7" w:rsidRDefault="00434F7C">
      <w:proofErr w:type="gramStart"/>
      <w:r>
        <w:t>which</w:t>
      </w:r>
      <w:proofErr w:type="gramEnd"/>
      <w:r>
        <w:t xml:space="preserve"> is Zimm’s equation in the Debye Plot:</w:t>
      </w:r>
    </w:p>
    <w:p w:rsidR="00434F7C" w:rsidRPr="003573E7" w:rsidRDefault="00434F7C"/>
    <w:p w:rsidR="003573E7" w:rsidRDefault="00A85CA2">
      <m:oMathPara>
        <m:oMath>
          <m:f>
            <m:fPr>
              <m:ctrlPr>
                <w:rPr>
                  <w:rFonts w:ascii="Cambria Math" w:hAnsi="Cambria Math"/>
                  <w:i/>
                </w:rPr>
              </m:ctrlPr>
            </m:fPr>
            <m:num>
              <m:sSup>
                <m:sSupPr>
                  <m:ctrlPr>
                    <w:rPr>
                      <w:rFonts w:ascii="Cambria Math" w:hAnsi="Cambria Math"/>
                      <w:i/>
                    </w:rPr>
                  </m:ctrlPr>
                </m:sSupPr>
                <m:e>
                  <m:r>
                    <w:rPr>
                      <w:rFonts w:ascii="Cambria Math" w:hAnsi="Cambria Math"/>
                    </w:rPr>
                    <m:t>K</m:t>
                  </m:r>
                </m:e>
                <m:sup>
                  <m:r>
                    <w:rPr>
                      <w:rFonts w:ascii="Cambria Math" w:hAnsi="Cambria Math"/>
                    </w:rPr>
                    <m:t>*</m:t>
                  </m:r>
                </m:sup>
              </m:sSup>
              <m:r>
                <w:rPr>
                  <w:rFonts w:ascii="Cambria Math" w:hAnsi="Cambria Math"/>
                </w:rPr>
                <m:t>c</m:t>
              </m:r>
            </m:num>
            <m:den>
              <m:r>
                <w:rPr>
                  <w:rFonts w:ascii="Cambria Math" w:hAnsi="Cambria Math"/>
                </w:rPr>
                <m:t>R</m:t>
              </m:r>
              <m:d>
                <m:dPr>
                  <m:ctrlPr>
                    <w:rPr>
                      <w:rFonts w:ascii="Cambria Math" w:hAnsi="Cambria Math"/>
                      <w:i/>
                    </w:rPr>
                  </m:ctrlPr>
                </m:dPr>
                <m:e>
                  <m:r>
                    <w:rPr>
                      <w:rFonts w:ascii="Cambria Math" w:hAnsi="Cambria Math"/>
                    </w:rPr>
                    <m:t>θ</m:t>
                  </m:r>
                </m:e>
              </m:d>
            </m:den>
          </m:f>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MP</m:t>
              </m:r>
              <m:d>
                <m:dPr>
                  <m:ctrlPr>
                    <w:rPr>
                      <w:rFonts w:ascii="Cambria Math" w:hAnsi="Cambria Math"/>
                      <w:i/>
                    </w:rPr>
                  </m:ctrlPr>
                </m:dPr>
                <m:e>
                  <m:r>
                    <w:rPr>
                      <w:rFonts w:ascii="Cambria Math" w:hAnsi="Cambria Math"/>
                    </w:rPr>
                    <m:t>θ</m:t>
                  </m:r>
                </m:e>
              </m:d>
            </m:den>
          </m:f>
          <m:r>
            <w:rPr>
              <w:rFonts w:ascii="Cambria Math" w:hAnsi="Cambria Math"/>
            </w:rPr>
            <m:t>+2</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c</m:t>
          </m:r>
        </m:oMath>
      </m:oMathPara>
    </w:p>
    <w:p w:rsidR="003334AE" w:rsidRDefault="003334AE"/>
    <w:p w:rsidR="00CB5E87" w:rsidRDefault="00CB5E87">
      <w:pPr>
        <w:spacing w:after="200" w:line="276" w:lineRule="auto"/>
        <w:rPr>
          <w:b/>
        </w:rPr>
      </w:pPr>
    </w:p>
    <w:sectPr w:rsidR="00CB5E87" w:rsidSect="00B67A3B">
      <w:footerReference w:type="default" r:id="rId28"/>
      <w:pgSz w:w="12240" w:h="15840"/>
      <w:pgMar w:top="1170" w:right="1440" w:bottom="1080" w:left="1440" w:header="720" w:footer="4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8C1" w:rsidRDefault="00B858C1" w:rsidP="00B858C1">
      <w:r>
        <w:separator/>
      </w:r>
    </w:p>
  </w:endnote>
  <w:endnote w:type="continuationSeparator" w:id="0">
    <w:p w:rsidR="00B858C1" w:rsidRDefault="00B858C1" w:rsidP="00B858C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58C1" w:rsidRPr="00A158D5" w:rsidRDefault="00B858C1" w:rsidP="00B858C1">
    <w:pPr>
      <w:pStyle w:val="Footer"/>
      <w:tabs>
        <w:tab w:val="right" w:pos="9810"/>
      </w:tabs>
      <w:rPr>
        <w:rFonts w:asciiTheme="minorHAnsi" w:hAnsiTheme="minorHAnsi"/>
        <w:sz w:val="18"/>
        <w:szCs w:val="18"/>
      </w:rPr>
    </w:pPr>
    <w:r w:rsidRPr="00A158D5">
      <w:rPr>
        <w:rFonts w:asciiTheme="minorHAnsi" w:hAnsiTheme="minorHAnsi"/>
        <w:sz w:val="18"/>
        <w:szCs w:val="18"/>
      </w:rPr>
      <w:t>© 2011 Wyatt Technology Corporation - All Rights Reserved</w:t>
    </w:r>
    <w:r w:rsidRPr="00A158D5">
      <w:rPr>
        <w:rFonts w:asciiTheme="minorHAnsi" w:hAnsiTheme="minorHAnsi"/>
        <w:sz w:val="18"/>
        <w:szCs w:val="18"/>
      </w:rPr>
      <w:tab/>
    </w:r>
    <w:r w:rsidRPr="00A158D5">
      <w:rPr>
        <w:rFonts w:asciiTheme="minorHAnsi" w:hAnsiTheme="minorHAnsi"/>
        <w:sz w:val="18"/>
        <w:szCs w:val="18"/>
      </w:rPr>
      <w:tab/>
    </w:r>
    <w:r w:rsidR="00A85CA2" w:rsidRPr="00A158D5">
      <w:rPr>
        <w:sz w:val="18"/>
        <w:szCs w:val="18"/>
      </w:rPr>
      <w:fldChar w:fldCharType="begin"/>
    </w:r>
    <w:r w:rsidRPr="00A158D5">
      <w:rPr>
        <w:sz w:val="18"/>
        <w:szCs w:val="18"/>
      </w:rPr>
      <w:instrText xml:space="preserve"> PAGE   \* MERGEFORMAT </w:instrText>
    </w:r>
    <w:r w:rsidR="00A85CA2" w:rsidRPr="00A158D5">
      <w:rPr>
        <w:sz w:val="18"/>
        <w:szCs w:val="18"/>
      </w:rPr>
      <w:fldChar w:fldCharType="separate"/>
    </w:r>
    <w:r w:rsidR="00AA5EA2">
      <w:rPr>
        <w:noProof/>
        <w:sz w:val="18"/>
        <w:szCs w:val="18"/>
      </w:rPr>
      <w:t>1</w:t>
    </w:r>
    <w:r w:rsidR="00A85CA2" w:rsidRPr="00A158D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8C1" w:rsidRDefault="00B858C1" w:rsidP="00B858C1">
      <w:r>
        <w:separator/>
      </w:r>
    </w:p>
  </w:footnote>
  <w:footnote w:type="continuationSeparator" w:id="0">
    <w:p w:rsidR="00B858C1" w:rsidRDefault="00B858C1" w:rsidP="00B858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573E7"/>
    <w:rsid w:val="00063FCC"/>
    <w:rsid w:val="00064AF9"/>
    <w:rsid w:val="00151E70"/>
    <w:rsid w:val="001C0192"/>
    <w:rsid w:val="00222D28"/>
    <w:rsid w:val="00224D72"/>
    <w:rsid w:val="002C24C6"/>
    <w:rsid w:val="003334AE"/>
    <w:rsid w:val="0034701E"/>
    <w:rsid w:val="003573E7"/>
    <w:rsid w:val="003C6553"/>
    <w:rsid w:val="0040077F"/>
    <w:rsid w:val="004074F5"/>
    <w:rsid w:val="00434F7C"/>
    <w:rsid w:val="00437DB5"/>
    <w:rsid w:val="00471EF5"/>
    <w:rsid w:val="004A3055"/>
    <w:rsid w:val="004A6F08"/>
    <w:rsid w:val="00547B9B"/>
    <w:rsid w:val="005900AA"/>
    <w:rsid w:val="005A370B"/>
    <w:rsid w:val="005A75BF"/>
    <w:rsid w:val="005B2C53"/>
    <w:rsid w:val="0064371D"/>
    <w:rsid w:val="006A03E1"/>
    <w:rsid w:val="006B2ABA"/>
    <w:rsid w:val="006F501E"/>
    <w:rsid w:val="00780B5A"/>
    <w:rsid w:val="007B0464"/>
    <w:rsid w:val="008108D7"/>
    <w:rsid w:val="008113C0"/>
    <w:rsid w:val="00853927"/>
    <w:rsid w:val="0087258D"/>
    <w:rsid w:val="00876D78"/>
    <w:rsid w:val="008A131E"/>
    <w:rsid w:val="008A29A5"/>
    <w:rsid w:val="008A5FF6"/>
    <w:rsid w:val="008C0418"/>
    <w:rsid w:val="009D747B"/>
    <w:rsid w:val="009E045A"/>
    <w:rsid w:val="00A158D5"/>
    <w:rsid w:val="00A23D91"/>
    <w:rsid w:val="00A63F64"/>
    <w:rsid w:val="00A81CB6"/>
    <w:rsid w:val="00A8363D"/>
    <w:rsid w:val="00A84F3A"/>
    <w:rsid w:val="00A85CA2"/>
    <w:rsid w:val="00A871A8"/>
    <w:rsid w:val="00AA5EA2"/>
    <w:rsid w:val="00AC5345"/>
    <w:rsid w:val="00AD2B39"/>
    <w:rsid w:val="00B20663"/>
    <w:rsid w:val="00B20D71"/>
    <w:rsid w:val="00B67A3B"/>
    <w:rsid w:val="00B858C1"/>
    <w:rsid w:val="00BA4405"/>
    <w:rsid w:val="00BB5D69"/>
    <w:rsid w:val="00BC4210"/>
    <w:rsid w:val="00BD2CA9"/>
    <w:rsid w:val="00BF4312"/>
    <w:rsid w:val="00C4092F"/>
    <w:rsid w:val="00C71E54"/>
    <w:rsid w:val="00CB38EE"/>
    <w:rsid w:val="00CB5E87"/>
    <w:rsid w:val="00D06C00"/>
    <w:rsid w:val="00D43F07"/>
    <w:rsid w:val="00D55914"/>
    <w:rsid w:val="00D606CB"/>
    <w:rsid w:val="00D949D1"/>
    <w:rsid w:val="00DA3967"/>
    <w:rsid w:val="00DD0225"/>
    <w:rsid w:val="00E15890"/>
    <w:rsid w:val="00E55406"/>
    <w:rsid w:val="00E6707C"/>
    <w:rsid w:val="00E71BCD"/>
    <w:rsid w:val="00EB7737"/>
    <w:rsid w:val="00EC599E"/>
    <w:rsid w:val="00ED22CA"/>
    <w:rsid w:val="00ED56FE"/>
    <w:rsid w:val="00EF7640"/>
    <w:rsid w:val="00F06953"/>
    <w:rsid w:val="00F101A3"/>
    <w:rsid w:val="00FD3B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345"/>
    <w:pPr>
      <w:spacing w:after="0" w:line="240" w:lineRule="auto"/>
    </w:pPr>
    <w:rPr>
      <w:rFonts w:ascii="Calibri" w:hAnsi="Calibri" w:cs="Times New Roman"/>
      <w:sz w:val="24"/>
      <w:szCs w:val="24"/>
    </w:rPr>
  </w:style>
  <w:style w:type="paragraph" w:styleId="Heading1">
    <w:name w:val="heading 1"/>
    <w:basedOn w:val="Normal"/>
    <w:next w:val="Normal"/>
    <w:link w:val="Heading1Char"/>
    <w:uiPriority w:val="9"/>
    <w:qFormat/>
    <w:rsid w:val="00D06C00"/>
    <w:pPr>
      <w:keepNext/>
      <w:keepLines/>
      <w:spacing w:line="276" w:lineRule="auto"/>
      <w:jc w:val="center"/>
      <w:outlineLvl w:val="0"/>
    </w:pPr>
    <w:rPr>
      <w:rFonts w:eastAsiaTheme="majorEastAsia" w:cstheme="majorBidi"/>
      <w:b/>
      <w:bCs/>
      <w:sz w:val="36"/>
      <w:szCs w:val="28"/>
    </w:rPr>
  </w:style>
  <w:style w:type="paragraph" w:styleId="Heading3">
    <w:name w:val="heading 3"/>
    <w:basedOn w:val="Normal"/>
    <w:next w:val="Normal"/>
    <w:link w:val="Heading3Char"/>
    <w:qFormat/>
    <w:rsid w:val="00BD2CA9"/>
    <w:pPr>
      <w:keepNext/>
      <w:spacing w:before="480" w:after="120"/>
      <w:outlineLvl w:val="2"/>
    </w:pPr>
    <w:rPr>
      <w:rFonts w:cs="Arial"/>
      <w:b/>
      <w:bCs/>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D2CA9"/>
    <w:rPr>
      <w:rFonts w:ascii="Calibri" w:hAnsi="Calibri" w:cs="Arial"/>
      <w:b/>
      <w:bCs/>
      <w:sz w:val="24"/>
      <w:szCs w:val="26"/>
      <w:lang w:eastAsia="zh-CN"/>
    </w:rPr>
  </w:style>
  <w:style w:type="character" w:customStyle="1" w:styleId="Heading1Char">
    <w:name w:val="Heading 1 Char"/>
    <w:basedOn w:val="DefaultParagraphFont"/>
    <w:link w:val="Heading1"/>
    <w:uiPriority w:val="9"/>
    <w:rsid w:val="00D06C00"/>
    <w:rPr>
      <w:rFonts w:ascii="Calibri" w:eastAsiaTheme="majorEastAsia" w:hAnsi="Calibri" w:cstheme="majorBidi"/>
      <w:b/>
      <w:bCs/>
      <w:sz w:val="36"/>
      <w:szCs w:val="28"/>
    </w:rPr>
  </w:style>
  <w:style w:type="paragraph" w:styleId="BalloonText">
    <w:name w:val="Balloon Text"/>
    <w:basedOn w:val="Normal"/>
    <w:link w:val="BalloonTextChar"/>
    <w:uiPriority w:val="99"/>
    <w:semiHidden/>
    <w:unhideWhenUsed/>
    <w:rsid w:val="003573E7"/>
    <w:rPr>
      <w:rFonts w:ascii="Tahoma" w:hAnsi="Tahoma" w:cs="Tahoma"/>
      <w:sz w:val="16"/>
      <w:szCs w:val="16"/>
    </w:rPr>
  </w:style>
  <w:style w:type="character" w:customStyle="1" w:styleId="BalloonTextChar">
    <w:name w:val="Balloon Text Char"/>
    <w:basedOn w:val="DefaultParagraphFont"/>
    <w:link w:val="BalloonText"/>
    <w:uiPriority w:val="99"/>
    <w:semiHidden/>
    <w:rsid w:val="003573E7"/>
    <w:rPr>
      <w:rFonts w:ascii="Tahoma" w:hAnsi="Tahoma" w:cs="Tahoma"/>
      <w:sz w:val="16"/>
      <w:szCs w:val="16"/>
    </w:rPr>
  </w:style>
  <w:style w:type="character" w:styleId="PlaceholderText">
    <w:name w:val="Placeholder Text"/>
    <w:basedOn w:val="DefaultParagraphFont"/>
    <w:uiPriority w:val="99"/>
    <w:semiHidden/>
    <w:rsid w:val="003573E7"/>
    <w:rPr>
      <w:color w:val="808080"/>
    </w:rPr>
  </w:style>
  <w:style w:type="paragraph" w:customStyle="1" w:styleId="MTDisplayEquation">
    <w:name w:val="MTDisplayEquation"/>
    <w:basedOn w:val="Normal"/>
    <w:next w:val="Normal"/>
    <w:rsid w:val="005B2C53"/>
    <w:pPr>
      <w:tabs>
        <w:tab w:val="center" w:pos="4320"/>
        <w:tab w:val="right" w:pos="8640"/>
      </w:tabs>
    </w:pPr>
    <w:rPr>
      <w:rFonts w:ascii="Times New Roman" w:hAnsi="Times New Roman"/>
      <w:szCs w:val="20"/>
    </w:rPr>
  </w:style>
  <w:style w:type="paragraph" w:styleId="Header">
    <w:name w:val="header"/>
    <w:basedOn w:val="Normal"/>
    <w:link w:val="HeaderChar"/>
    <w:uiPriority w:val="99"/>
    <w:semiHidden/>
    <w:unhideWhenUsed/>
    <w:rsid w:val="00B858C1"/>
    <w:pPr>
      <w:tabs>
        <w:tab w:val="center" w:pos="4680"/>
        <w:tab w:val="right" w:pos="9360"/>
      </w:tabs>
    </w:pPr>
  </w:style>
  <w:style w:type="character" w:customStyle="1" w:styleId="HeaderChar">
    <w:name w:val="Header Char"/>
    <w:basedOn w:val="DefaultParagraphFont"/>
    <w:link w:val="Header"/>
    <w:uiPriority w:val="99"/>
    <w:semiHidden/>
    <w:rsid w:val="00B858C1"/>
    <w:rPr>
      <w:rFonts w:ascii="Calibri" w:hAnsi="Calibri" w:cs="Times New Roman"/>
      <w:sz w:val="24"/>
      <w:szCs w:val="24"/>
    </w:rPr>
  </w:style>
  <w:style w:type="paragraph" w:styleId="Footer">
    <w:name w:val="footer"/>
    <w:basedOn w:val="Normal"/>
    <w:link w:val="FooterChar"/>
    <w:uiPriority w:val="99"/>
    <w:unhideWhenUsed/>
    <w:rsid w:val="00B858C1"/>
    <w:pPr>
      <w:tabs>
        <w:tab w:val="center" w:pos="4680"/>
        <w:tab w:val="right" w:pos="9360"/>
      </w:tabs>
    </w:pPr>
  </w:style>
  <w:style w:type="character" w:customStyle="1" w:styleId="FooterChar">
    <w:name w:val="Footer Char"/>
    <w:basedOn w:val="DefaultParagraphFont"/>
    <w:link w:val="Footer"/>
    <w:uiPriority w:val="99"/>
    <w:rsid w:val="00B858C1"/>
    <w:rPr>
      <w:rFonts w:ascii="Calibri" w:hAnsi="Calibri"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openxmlformats.org/officeDocument/2006/relationships/webSettings" Target="webSetting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5"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Sigrid Kuebler</dc:creator>
  <cp:keywords/>
  <dc:description/>
  <cp:lastModifiedBy>Sigrid Kuebler</cp:lastModifiedBy>
  <cp:revision>10</cp:revision>
  <cp:lastPrinted>2011-03-08T22:15:00Z</cp:lastPrinted>
  <dcterms:created xsi:type="dcterms:W3CDTF">2010-12-28T00:21:00Z</dcterms:created>
  <dcterms:modified xsi:type="dcterms:W3CDTF">2011-03-08T22:34:00Z</dcterms:modified>
</cp:coreProperties>
</file>